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4C" w:rsidRPr="0004184C" w:rsidRDefault="0004184C" w:rsidP="000418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u w:val="single"/>
          <w:lang w:eastAsia="en-GB"/>
        </w:rPr>
      </w:pPr>
      <w:r w:rsidRPr="0004184C">
        <w:rPr>
          <w:rFonts w:ascii="Verdana" w:eastAsia="Times New Roman" w:hAnsi="Verdana" w:cs="Times New Roman"/>
          <w:b/>
          <w:color w:val="000000"/>
          <w:u w:val="single"/>
          <w:lang w:eastAsia="en-GB"/>
        </w:rPr>
        <w:t>DOSARUL DE CONCURS</w:t>
      </w:r>
    </w:p>
    <w:p w:rsid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vederea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participării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concurs,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termen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20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zile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la data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anunţului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pagina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internet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autorităţii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instituţiei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organizatoare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depun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dosarul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concurs,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conţine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mod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obligatoriu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:</w:t>
      </w:r>
      <w:r w:rsidRPr="0004184C">
        <w:rPr>
          <w:rFonts w:ascii="Verdana" w:eastAsia="Times New Roman" w:hAnsi="Verdana" w:cs="Times New Roman"/>
          <w:i/>
          <w:iCs/>
          <w:color w:val="6666FF"/>
          <w:sz w:val="18"/>
          <w:lang w:eastAsia="en-GB"/>
        </w:rPr>
        <w:t xml:space="preserve"> </w:t>
      </w:r>
      <w:bookmarkStart w:id="0" w:name="do|ttII|caIII|si2|ar49|al1|lia"/>
      <w:bookmarkEnd w:id="0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a)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formularul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înscriere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anexa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nr. 3;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1" w:name="do|ttII|caIII|si2|ar49|al1|lib"/>
      <w:bookmarkEnd w:id="1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b)</w:t>
      </w:r>
      <w:r w:rsidRPr="0004184C">
        <w:rPr>
          <w:rFonts w:ascii="Verdana" w:eastAsia="Times New Roman" w:hAnsi="Verdana" w:cs="Times New Roman"/>
          <w:color w:val="000000"/>
          <w:lang w:eastAsia="en-GB"/>
        </w:rPr>
        <w:t>curriculum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vitae,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modelul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comun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european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2" w:name="do|ttII|caIII|si2|ar49|al1|lic"/>
      <w:bookmarkEnd w:id="2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c)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copia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identitate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3" w:name="do|ttII|caIII|si2|ar49|al1|lid"/>
      <w:bookmarkEnd w:id="3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d)</w:t>
      </w:r>
      <w:proofErr w:type="spellStart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>copii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ale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diplomelor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studii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certificatelor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altor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documente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atestă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efectuarea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unor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specializări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perfecţionări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4" w:name="do|ttII|caIII|si2|ar49|al1|lie:831"/>
      <w:bookmarkStart w:id="5" w:name="do|ttII|caIII|si2|ar49|al1|lie"/>
      <w:bookmarkEnd w:id="4"/>
      <w:bookmarkEnd w:id="5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e)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copie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diplomei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master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domeniul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administraţiei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management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specialitatea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studiilor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necesare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exercitării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funcţiei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după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caz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situaţia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diploma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absolvire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licenţă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nu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este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echivalentă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cu diploma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studii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universitare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master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specialitate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conform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prevederilor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art.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153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alin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(2)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din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Legea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educaţiei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naţionale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nr. </w:t>
      </w:r>
      <w:hyperlink r:id="rId4" w:history="1">
        <w:r w:rsidRPr="0004184C">
          <w:rPr>
            <w:rFonts w:ascii="Verdana" w:eastAsia="Times New Roman" w:hAnsi="Verdana" w:cs="Times New Roman"/>
            <w:b/>
            <w:bCs/>
            <w:color w:val="333399"/>
            <w:u w:val="single"/>
            <w:lang w:eastAsia="en-GB"/>
          </w:rPr>
          <w:t>1/2011</w:t>
        </w:r>
      </w:hyperlink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cu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modificările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completările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ulterioare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6" w:name="do|ttII|caIII|si2|ar49|al1|lif:832"/>
      <w:bookmarkStart w:id="7" w:name="do|ttII|caIII|si2|ar49|al1|lif"/>
      <w:bookmarkEnd w:id="6"/>
      <w:bookmarkEnd w:id="7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f)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copia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carnetului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muncă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eliberate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angajator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perioada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lucrată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ateste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vechimea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muncă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specialitatea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studiilor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solicitate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ocuparea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postului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/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funcţiei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exercitarea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profesiei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8" w:name="do|ttII|caIII|si2|ar49|al1|lig"/>
      <w:bookmarkEnd w:id="8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g)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copia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atestă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sănătate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corespunzătoare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eliberată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mult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6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luni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anterior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derulării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concursului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către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medicul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familie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al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9" w:name="do|ttII|caIII|si2|ar49|al1|lih"/>
      <w:bookmarkEnd w:id="9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h)</w:t>
      </w:r>
      <w:proofErr w:type="spellStart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>copia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atestă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sănătate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corespunzătoare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efort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fizic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cazul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funcţiilor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căror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ocupare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este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necesară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îndeplinirea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unor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condiţii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specifice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implică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efort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fizic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se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testează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probă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suplimentară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10" w:name="do|ttII|caIII|si2|ar49|al1|lii"/>
      <w:bookmarkEnd w:id="10"/>
      <w:proofErr w:type="spellStart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i</w:t>
      </w:r>
      <w:proofErr w:type="spellEnd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cazierul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judiciar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;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11" w:name="do|ttII|caIII|si2|ar49|al1|lij:833"/>
      <w:bookmarkStart w:id="12" w:name="do|ttII|caIII|si2|ar49|al1|lij"/>
      <w:bookmarkEnd w:id="11"/>
      <w:bookmarkEnd w:id="12"/>
      <w:proofErr w:type="gramStart"/>
      <w:r w:rsidRPr="0004184C">
        <w:rPr>
          <w:rFonts w:ascii="Verdana" w:eastAsia="Times New Roman" w:hAnsi="Verdana" w:cs="Times New Roman"/>
          <w:b/>
          <w:bCs/>
          <w:color w:val="8F0000"/>
          <w:lang w:eastAsia="en-GB"/>
        </w:rPr>
        <w:t>j)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declaraţia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propria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răspundere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completarea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rubricii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corespunzătoare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din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formularul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înscriere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ateste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lipsa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calităţii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lucrător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al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Securităţii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colaborator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al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acesteia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condiţiile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legislaţia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specifică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13" w:name="do|ttII|caIII|si2|ar49|al1^1"/>
      <w:bookmarkEnd w:id="13"/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>(1</w:t>
      </w:r>
      <w:r w:rsidRPr="0004184C">
        <w:rPr>
          <w:rFonts w:ascii="Verdana" w:eastAsia="Times New Roman" w:hAnsi="Verdana" w:cs="Times New Roman"/>
          <w:b/>
          <w:bCs/>
          <w:color w:val="008F00"/>
          <w:vertAlign w:val="superscript"/>
          <w:lang w:eastAsia="en-GB"/>
        </w:rPr>
        <w:t>1</w:t>
      </w:r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>)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Modelul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orientativ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al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menţionate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alin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(1)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lit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. f) 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este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anexa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nr.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2D.</w:t>
      </w:r>
      <w:proofErr w:type="gramEnd"/>
    </w:p>
    <w:p w:rsidR="0004184C" w:rsidRPr="0004184C" w:rsidRDefault="0004184C" w:rsidP="000418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en-GB"/>
        </w:rPr>
      </w:pPr>
      <w:bookmarkStart w:id="14" w:name="do|ttII|caIII|si2|ar49|al1^2"/>
      <w:bookmarkEnd w:id="14"/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>(1</w:t>
      </w:r>
      <w:r w:rsidRPr="0004184C">
        <w:rPr>
          <w:rFonts w:ascii="Verdana" w:eastAsia="Times New Roman" w:hAnsi="Verdana" w:cs="Times New Roman"/>
          <w:b/>
          <w:bCs/>
          <w:color w:val="008F00"/>
          <w:vertAlign w:val="superscript"/>
          <w:lang w:eastAsia="en-GB"/>
        </w:rPr>
        <w:t>2</w:t>
      </w:r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>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Adeverinţele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au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un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alt format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decât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alin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 (1</w:t>
      </w:r>
      <w:r w:rsidRPr="0004184C">
        <w:rPr>
          <w:rFonts w:ascii="Verdana" w:eastAsia="Times New Roman" w:hAnsi="Verdana" w:cs="Times New Roman"/>
          <w:color w:val="000000"/>
          <w:vertAlign w:val="superscript"/>
          <w:lang w:eastAsia="en-GB"/>
        </w:rPr>
        <w:t>1</w:t>
      </w:r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) 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trebuie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cuprindă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elemente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similare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anexa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nr. 2D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din care 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să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rezulte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puţin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următoarele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informaţii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: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funcţia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/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funcţiile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ocupată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/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ocupate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nivelul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studiilor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solicitate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ocuparea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acesteia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/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acestora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temeiul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legal al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desfăşurării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activităţii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vechimea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muncă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acumulată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precum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vechimea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specialitatea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studiilor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</w:p>
    <w:p w:rsidR="00B244E2" w:rsidRDefault="0004184C" w:rsidP="0004184C">
      <w:pPr>
        <w:shd w:val="clear" w:color="auto" w:fill="FFFFFF"/>
        <w:spacing w:after="0" w:line="240" w:lineRule="auto"/>
        <w:jc w:val="both"/>
      </w:pPr>
      <w:bookmarkStart w:id="15" w:name="do|ttII|caIII|si2|ar49|al2:834"/>
      <w:bookmarkStart w:id="16" w:name="do|ttII|caIII|si2|ar49|al2"/>
      <w:bookmarkEnd w:id="15"/>
      <w:bookmarkEnd w:id="16"/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 xml:space="preserve"> (2)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atestă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sănătate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conţine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clar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numărul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data,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numele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emitentului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calitatea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acestuia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formatul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standard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stabilit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ordin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al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ministrului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sănătăţii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dizabilităţi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situaţia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solicitării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adaptare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rezonabilă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adeverinţa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atestă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starea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sănătate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trebuie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însoţită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copia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certificatului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încadrare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într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-un grad de handicap,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emis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condiţiile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legii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  <w:proofErr w:type="gramEnd"/>
      <w:r w:rsidRPr="0004184C">
        <w:rPr>
          <w:rFonts w:ascii="Verdana" w:eastAsia="Times New Roman" w:hAnsi="Verdana" w:cs="Times New Roman"/>
          <w:color w:val="000000"/>
          <w:shd w:val="clear" w:color="auto" w:fill="D3D3D3"/>
          <w:lang w:eastAsia="en-GB"/>
        </w:rPr>
        <w:br/>
      </w:r>
      <w:bookmarkStart w:id="17" w:name="do|ttII|caIII|si2|ar49|al3:127"/>
      <w:bookmarkStart w:id="18" w:name="do|ttII|caIII|si2|ar49|al3"/>
      <w:bookmarkEnd w:id="17"/>
      <w:bookmarkEnd w:id="18"/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 xml:space="preserve"> (3)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Copiile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actele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alin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(1),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precum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copia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certificatului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încadrare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într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-un grad de handicap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alin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. (2)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se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prezintă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copii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legalizate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însoţite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documentele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originale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care se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certifică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conformitatea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originalul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către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secretarul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comisiei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concurs.</w:t>
      </w:r>
      <w:r w:rsidRPr="0004184C">
        <w:rPr>
          <w:rFonts w:ascii="Verdana" w:eastAsia="Times New Roman" w:hAnsi="Verdana" w:cs="Times New Roman"/>
          <w:color w:val="000000"/>
          <w:shd w:val="clear" w:color="auto" w:fill="D3D3D3"/>
          <w:lang w:eastAsia="en-GB"/>
        </w:rPr>
        <w:br/>
      </w:r>
      <w:bookmarkStart w:id="19" w:name="do|ttII|caIII|si2|ar49|al4:128"/>
      <w:bookmarkStart w:id="20" w:name="do|ttII|caIII|si2|ar49|al4"/>
      <w:bookmarkEnd w:id="19"/>
      <w:bookmarkEnd w:id="20"/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 xml:space="preserve"> (4)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Documentul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alin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(1)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lit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) 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poate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fi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înlocuit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cu o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declaraţie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propria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răspundere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acest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caz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candidatul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declarat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admis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selecţia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dosarelor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nu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solicitat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expres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înscrierea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concurs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preluarea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informaţiilor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direct </w:t>
      </w:r>
      <w:r w:rsidRPr="0004184C">
        <w:rPr>
          <w:rFonts w:ascii="Verdana" w:eastAsia="Times New Roman" w:hAnsi="Verdana" w:cs="Times New Roman"/>
          <w:color w:val="000000"/>
          <w:lang w:eastAsia="en-GB"/>
        </w:rPr>
        <w:lastRenderedPageBreak/>
        <w:t xml:space="preserve">de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autoritatea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instituţia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competentă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obligaţia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completa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dosarul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concurs cu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originalul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documentului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tot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parcursul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desfăşurării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concursului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dar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nu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mai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târziu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data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organizării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interviului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sub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sancţiunea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neemiterii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actului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administrativ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numire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situaţia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care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candidatul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solicită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expres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înscrierea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concurs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preluarea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informaţiilor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direct de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autoritatea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instituţia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competentă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extrasul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cazierul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judiciar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se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solicită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potrivit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legii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procedurii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aprobate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nivel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instituţional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  <w:r w:rsidRPr="0004184C">
        <w:rPr>
          <w:rFonts w:ascii="Verdana" w:eastAsia="Times New Roman" w:hAnsi="Verdana" w:cs="Times New Roman"/>
          <w:color w:val="000000"/>
          <w:shd w:val="clear" w:color="auto" w:fill="D3D3D3"/>
          <w:lang w:eastAsia="en-GB"/>
        </w:rPr>
        <w:br/>
      </w:r>
      <w:bookmarkStart w:id="21" w:name="do|ttII|caIII|si2|ar49|al5:129"/>
      <w:bookmarkStart w:id="22" w:name="do|ttII|caIII|si2|ar49|al5"/>
      <w:bookmarkEnd w:id="21"/>
      <w:bookmarkEnd w:id="22"/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 xml:space="preserve"> (5)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Formularul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înscriere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anexa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nr.</w:t>
      </w:r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3 se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pune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dispoziţie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candidaţilor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către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autoritatea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sau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instituţia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publică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organizatoare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concursului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din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oficiu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pagina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internet 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acesteia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format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deschis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editabil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cadrul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secţiunii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dedicate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publicităţii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concursului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precum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sediu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locul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special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amenajat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desfăşurarea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activităţi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informare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şi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relaţii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publice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format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letric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>.</w:t>
      </w:r>
      <w:r w:rsidRPr="0004184C">
        <w:rPr>
          <w:rFonts w:ascii="Verdana" w:eastAsia="Times New Roman" w:hAnsi="Verdana" w:cs="Times New Roman"/>
          <w:color w:val="000000"/>
          <w:shd w:val="clear" w:color="auto" w:fill="D3D3D3"/>
          <w:lang w:eastAsia="en-GB"/>
        </w:rPr>
        <w:br/>
      </w:r>
      <w:bookmarkStart w:id="23" w:name="do|ttII|caIII|si2|ar49|al6"/>
      <w:bookmarkEnd w:id="23"/>
      <w:r w:rsidRPr="0004184C">
        <w:rPr>
          <w:rFonts w:ascii="Verdana" w:eastAsia="Times New Roman" w:hAnsi="Verdana" w:cs="Times New Roman"/>
          <w:b/>
          <w:bCs/>
          <w:color w:val="008F00"/>
          <w:lang w:eastAsia="en-GB"/>
        </w:rPr>
        <w:t>(6)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Prin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raportare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la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nevoile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individuale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candidatul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cu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dizabilităţi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poate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înainta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comisiei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concurs,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în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termenul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prevăzut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depunerea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dosarelor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concurs,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propunerea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proofErr w:type="gramStart"/>
      <w:r w:rsidRPr="0004184C">
        <w:rPr>
          <w:rFonts w:ascii="Verdana" w:eastAsia="Times New Roman" w:hAnsi="Verdana" w:cs="Times New Roman"/>
          <w:color w:val="000000"/>
          <w:lang w:eastAsia="en-GB"/>
        </w:rPr>
        <w:t>sa</w:t>
      </w:r>
      <w:proofErr w:type="spellEnd"/>
      <w:proofErr w:type="gram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privind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instrumentele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necesare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pentru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asigurarea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accesibilităţii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proofErr w:type="spellStart"/>
      <w:r w:rsidRPr="0004184C">
        <w:rPr>
          <w:rFonts w:ascii="Verdana" w:eastAsia="Times New Roman" w:hAnsi="Verdana" w:cs="Times New Roman"/>
          <w:color w:val="000000"/>
          <w:lang w:eastAsia="en-GB"/>
        </w:rPr>
        <w:t>probelor</w:t>
      </w:r>
      <w:proofErr w:type="spellEnd"/>
      <w:r w:rsidRPr="0004184C">
        <w:rPr>
          <w:rFonts w:ascii="Verdana" w:eastAsia="Times New Roman" w:hAnsi="Verdana" w:cs="Times New Roman"/>
          <w:color w:val="000000"/>
          <w:lang w:eastAsia="en-GB"/>
        </w:rPr>
        <w:t xml:space="preserve"> de concurs.</w:t>
      </w:r>
      <w:r w:rsidRPr="0004184C">
        <w:rPr>
          <w:rFonts w:ascii="Verdana" w:eastAsia="Times New Roman" w:hAnsi="Verdana" w:cs="Times New Roman"/>
          <w:color w:val="000000"/>
          <w:shd w:val="clear" w:color="auto" w:fill="D3D3D3"/>
          <w:lang w:eastAsia="en-GB"/>
        </w:rPr>
        <w:br/>
      </w:r>
    </w:p>
    <w:sectPr w:rsidR="00B244E2" w:rsidSect="00B24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04184C"/>
    <w:rsid w:val="0004184C"/>
    <w:rsid w:val="00B244E2"/>
    <w:rsid w:val="00E7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E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">
    <w:name w:val="tal"/>
    <w:basedOn w:val="Fontdeparagrafimplicit"/>
    <w:rsid w:val="0004184C"/>
  </w:style>
  <w:style w:type="character" w:customStyle="1" w:styleId="lego">
    <w:name w:val="lego"/>
    <w:basedOn w:val="Fontdeparagrafimplicit"/>
    <w:rsid w:val="0004184C"/>
  </w:style>
  <w:style w:type="character" w:styleId="Hyperlink">
    <w:name w:val="Hyperlink"/>
    <w:basedOn w:val="Fontdeparagrafimplicit"/>
    <w:uiPriority w:val="99"/>
    <w:semiHidden/>
    <w:unhideWhenUsed/>
    <w:rsid w:val="0004184C"/>
    <w:rPr>
      <w:color w:val="0000FF"/>
      <w:u w:val="single"/>
    </w:rPr>
  </w:style>
  <w:style w:type="character" w:customStyle="1" w:styleId="li">
    <w:name w:val="li"/>
    <w:basedOn w:val="Fontdeparagrafimplicit"/>
    <w:rsid w:val="0004184C"/>
  </w:style>
  <w:style w:type="character" w:customStyle="1" w:styleId="tli">
    <w:name w:val="tli"/>
    <w:basedOn w:val="Fontdeparagrafimplicit"/>
    <w:rsid w:val="0004184C"/>
  </w:style>
  <w:style w:type="character" w:customStyle="1" w:styleId="lia">
    <w:name w:val="li_a"/>
    <w:basedOn w:val="Fontdeparagrafimplicit"/>
    <w:rsid w:val="0004184C"/>
  </w:style>
  <w:style w:type="character" w:customStyle="1" w:styleId="tlia">
    <w:name w:val="tli_a"/>
    <w:basedOn w:val="Fontdeparagrafimplicit"/>
    <w:rsid w:val="0004184C"/>
  </w:style>
  <w:style w:type="character" w:customStyle="1" w:styleId="legoa">
    <w:name w:val="lego_a"/>
    <w:basedOn w:val="Fontdeparagrafimplicit"/>
    <w:rsid w:val="0004184C"/>
  </w:style>
  <w:style w:type="character" w:customStyle="1" w:styleId="al">
    <w:name w:val="al"/>
    <w:basedOn w:val="Fontdeparagrafimplicit"/>
    <w:rsid w:val="0004184C"/>
  </w:style>
  <w:style w:type="character" w:customStyle="1" w:styleId="ala">
    <w:name w:val="al_a"/>
    <w:basedOn w:val="Fontdeparagrafimplicit"/>
    <w:rsid w:val="0004184C"/>
  </w:style>
  <w:style w:type="character" w:customStyle="1" w:styleId="tala">
    <w:name w:val="tal_a"/>
    <w:basedOn w:val="Fontdeparagrafimplicit"/>
    <w:rsid w:val="00041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04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787291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01987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506414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865287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288421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12562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010095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74689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99652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86233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209483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574889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9639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326718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73685308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497888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1565678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157112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16504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805684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4820124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378255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483011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053817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699564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24711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rept.ro/001373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resurse umane</cp:lastModifiedBy>
  <cp:revision>2</cp:revision>
  <dcterms:created xsi:type="dcterms:W3CDTF">2022-01-07T08:52:00Z</dcterms:created>
  <dcterms:modified xsi:type="dcterms:W3CDTF">2022-01-07T08:52:00Z</dcterms:modified>
</cp:coreProperties>
</file>